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ee0ed0bae7e4bc9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浅层平板测试报告曲线图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ylinkTest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2020-04-06 11:37:48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试点编号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YL-QCPB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承压板面积(m²)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承压板形状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方形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仪器型号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仪器厂家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使用人员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使用单位</w:t>
            </w:r>
          </w:p>
        </w:tc>
        <w:tc>
          <w:tcPr>
            <w:vAlign w:val="center"/>
            <w:gridSpan w:val="2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试验规范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建筑地基基础设计规范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实验设备换算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位移传感器编号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载荷(kPa)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900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1000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本次沉降(mm)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1.22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1.59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2.18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1.82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2.65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2.98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2.55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-1.98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-2.80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-4.04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-3.96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累计沉降(mm)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3.45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5.41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7.00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9.18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11.00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13.65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16.63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19.18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18.22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16.24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13.44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9.40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5.44</w:t>
                  </w:r>
                </w:p>
              </w:tc>
              <w:trPr>
                <w:trHeight w:hRule="exact" w:val="640.000019073486"/>
              </w:trPr>
            </w:tr>
          </w:tbl>
          <w:p>
            <w:pPr/>
          </w:p>
        </w:tc>
        <w:trPr>
          <w:trHeight w:hRule="exact" w:val="1920.00013351441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4830"/>
              <w:gridCol w:w="4830"/>
            </w:tblGrid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119b6197ba5647eb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5c237b061eb2406c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4890.00010758638"/>
              </w:trPr>
            </w:tr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730a2f9e6467496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/>
                </w:p>
              </w:tc>
              <w:trPr>
                <w:trHeight w:hRule="exact" w:val="4890.00010758638"/>
              </w:trPr>
            </w:tr>
          </w:tbl>
          <w:p>
            <w:pPr/>
          </w:p>
        </w:tc>
        <w:trPr>
          <w:trHeight w:hRule="exact" w:val="9780.00021517277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浅层平板测试报告汇总表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ylinkTest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2020-04-06 11:37:48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试点编号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YL-QCPB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承压板面积(m²)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承压板形状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方形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序号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历时(min)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沉降(mm)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5.41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7.00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11.00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16.63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16.24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13.44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rPr>
          <w:trHeight w:hRule="exact" w:val="400.000011920929"/>
        </w:trPr>
      </w:tr>
      <w:tr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最大沉降：19.18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最大回弹：13.74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回弹率：71.64%</w:t>
            </w:r>
          </w:p>
        </w:tc>
        <w:trPr>
          <w:trHeight w:hRule="exact" w:val="400.000011920929"/>
        </w:trPr>
      </w:tr>
    </w:tbl>
    <w:p>
      <w:pPr/>
    </w:p>
    <w:p>
      <w:r>
        <w:br w:type="page"/>
      </w:r>
    </w:p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浅层平板测试报告明细表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ylinkTest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2020-04-06 11:37:48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试点编号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YL-QCPB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承压板面积(m²)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承压板形状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方形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11:37:55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11:37:57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11:40:54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11:41:09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11:41:12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11:41:15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11:41:18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11:41:21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11:41:27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11:41:28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11:42:27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11:42:30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11:42:38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11:43:10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11:43:15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11:43:43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11:43:47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11:44:22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11:44:47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11:44:50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11:45:03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浅层平板测试报告明细表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ylinkTest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2020-04-06 11:37:48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试点编号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YL-QCPB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承压板面积(m²)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承压板形状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方形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11:45:09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11:45:10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11:45:41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11:45:44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11:45:46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11:45:57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11:46:08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11:46:41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11:46:44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11:46:56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11:47:02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11:47:41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11:47:44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11:47:47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11:47:57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11:48:03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11:48:39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11:48:42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浅层平板测试报告明细表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ylinkTest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2020-04-06 11:37:48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试点编号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YL-QCPB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承压板面积(m²)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承压板形状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方形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11:48:51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11:49:00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11:49:36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11:49:39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11:49:45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11:49:48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11:49:50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11:49:54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11:50:11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11:50:48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11:50:50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11:50:54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11:50:59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11:51:32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11:51:36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11:51:38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11:51:41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11:52:12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11:52:19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11:52:32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11:52:43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11:53:15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11:53:53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11:53:56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浅层平板测试报告明细表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ylinkTest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2020-04-06 11:37:48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试点编号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YL-QCPB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承压板面积(m²)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承压板形状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方形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11:54:00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11:54:04</w:t>
            </w:r>
          </w:p>
        </w:tc>
        <w:trPr>
          <w:trHeight w:hRule="exact" w:val="401.600011968613"/>
        </w:trPr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0a7b0a5a3d34425" /><Relationship Type="http://schemas.openxmlformats.org/officeDocument/2006/relationships/numbering" Target="/word/numbering.xml" Id="Re7f9b07172f34a21" /><Relationship Type="http://schemas.openxmlformats.org/officeDocument/2006/relationships/settings" Target="/word/settings.xml" Id="R23fcdf10164b4973" /><Relationship Type="http://schemas.openxmlformats.org/officeDocument/2006/relationships/image" Target="/word/media/e21ae1b1-87a5-47f6-8b23-c8ddc66f4c80.jpg" Id="R119b6197ba5647eb" /><Relationship Type="http://schemas.openxmlformats.org/officeDocument/2006/relationships/image" Target="/word/media/3670f712-4eb7-416c-9ddc-4fcdcea1ed94.jpg" Id="R5c237b061eb2406c" /><Relationship Type="http://schemas.openxmlformats.org/officeDocument/2006/relationships/image" Target="/word/media/a00840da-e35e-4e7f-ad12-0e4382ffc447.jpg" Id="R730a2f9e64674965" /></Relationships>
</file>